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9D86F" w14:textId="39C8EDAC" w:rsidR="005E1EF0" w:rsidRPr="00442222" w:rsidRDefault="005E1EF0" w:rsidP="005E1EF0">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Pr>
          <w:rFonts w:ascii="Arial" w:hAnsi="Arial" w:cs="Arial"/>
          <w:b/>
          <w:bCs/>
          <w:noProof/>
          <w:snapToGrid w:val="0"/>
          <w:kern w:val="0"/>
          <w:sz w:val="28"/>
          <w:szCs w:val="28"/>
        </w:rPr>
        <w:t xml:space="preserve">105-bis    </w:t>
      </w:r>
      <w:r>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96459F">
        <w:rPr>
          <w:rFonts w:ascii="Arial" w:hAnsi="Arial" w:cs="Arial"/>
          <w:b/>
          <w:bCs/>
          <w:noProof/>
          <w:snapToGrid w:val="0"/>
          <w:kern w:val="0"/>
          <w:sz w:val="28"/>
          <w:szCs w:val="28"/>
        </w:rPr>
        <w:t>R2-1</w:t>
      </w:r>
      <w:r>
        <w:rPr>
          <w:rFonts w:ascii="Arial" w:hAnsi="Arial" w:cs="Arial"/>
          <w:b/>
          <w:bCs/>
          <w:noProof/>
          <w:snapToGrid w:val="0"/>
          <w:kern w:val="0"/>
          <w:sz w:val="28"/>
          <w:szCs w:val="28"/>
        </w:rPr>
        <w:t>90</w:t>
      </w:r>
      <w:r w:rsidR="00AB6230">
        <w:rPr>
          <w:rFonts w:ascii="Arial" w:hAnsi="Arial" w:cs="Arial"/>
          <w:b/>
          <w:bCs/>
          <w:noProof/>
          <w:snapToGrid w:val="0"/>
          <w:kern w:val="0"/>
          <w:sz w:val="28"/>
          <w:szCs w:val="28"/>
        </w:rPr>
        <w:t>6319</w:t>
      </w:r>
    </w:p>
    <w:p w14:paraId="3D29C805" w14:textId="1051776B" w:rsidR="00553234" w:rsidRPr="00402985" w:rsidRDefault="005E1EF0" w:rsidP="005E1EF0">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China, Xian,</w:t>
      </w:r>
      <w:r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08 - 12 April</w:t>
      </w:r>
      <w:r w:rsidRPr="00A7440B">
        <w:rPr>
          <w:rFonts w:ascii="Arial" w:hAnsi="Arial" w:cs="Arial"/>
          <w:b/>
          <w:bCs/>
          <w:noProof/>
          <w:kern w:val="0"/>
          <w:sz w:val="28"/>
          <w:szCs w:val="28"/>
          <w:lang w:val="en-GB"/>
        </w:rPr>
        <w:t xml:space="preserve"> 201</w:t>
      </w:r>
      <w:r>
        <w:rPr>
          <w:rFonts w:ascii="Arial" w:hAnsi="Arial" w:cs="Arial"/>
          <w:b/>
          <w:bCs/>
          <w:noProof/>
          <w:kern w:val="0"/>
          <w:sz w:val="28"/>
          <w:szCs w:val="28"/>
          <w:lang w:val="en-GB"/>
        </w:rPr>
        <w:t>9</w:t>
      </w:r>
      <w:r>
        <w:rPr>
          <w:rFonts w:ascii="Arial" w:hAnsi="Arial" w:cs="Arial"/>
          <w:b/>
          <w:bCs/>
          <w:noProof/>
          <w:kern w:val="0"/>
          <w:sz w:val="28"/>
          <w:szCs w:val="28"/>
          <w:lang w:val="en-GB"/>
        </w:rPr>
        <w:tab/>
      </w:r>
      <w:r>
        <w:rPr>
          <w:rFonts w:ascii="Arial" w:hAnsi="Arial" w:cs="Arial"/>
          <w:b/>
          <w:bCs/>
          <w:noProof/>
          <w:kern w:val="0"/>
          <w:sz w:val="28"/>
          <w:szCs w:val="28"/>
          <w:lang w:val="en-GB"/>
        </w:rPr>
        <w:tab/>
      </w:r>
      <w:r w:rsidR="008850B6">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r w:rsidR="00AB6230">
        <w:rPr>
          <w:rFonts w:ascii="Arial" w:hAnsi="Arial" w:cs="Arial"/>
          <w:b/>
          <w:bCs/>
          <w:noProof/>
          <w:color w:val="D9D9D9" w:themeColor="background1" w:themeShade="D9"/>
          <w:kern w:val="0"/>
          <w:sz w:val="20"/>
          <w:szCs w:val="28"/>
          <w:lang w:val="en-GB"/>
        </w:rPr>
        <w:t>Resubmission of R2-1903547</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1BA86DF8"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D4BBE">
        <w:rPr>
          <w:rFonts w:ascii="Arial" w:hAnsi="Arial" w:cs="Arial"/>
          <w:b/>
          <w:bCs/>
          <w:noProof/>
          <w:snapToGrid w:val="0"/>
          <w:kern w:val="0"/>
          <w:sz w:val="28"/>
          <w:szCs w:val="28"/>
        </w:rPr>
        <w:t>Charging aspects of NR-U</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2EAEA082"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E37356" w:rsidRPr="00E37356">
        <w:rPr>
          <w:rFonts w:ascii="Arial" w:hAnsi="Arial" w:cs="Arial"/>
          <w:b/>
          <w:bCs/>
          <w:noProof/>
          <w:snapToGrid w:val="0"/>
          <w:kern w:val="0"/>
          <w:sz w:val="28"/>
          <w:szCs w:val="28"/>
        </w:rPr>
        <w:t>11.2.</w:t>
      </w:r>
      <w:r w:rsidR="009265EE">
        <w:rPr>
          <w:rFonts w:ascii="Arial" w:hAnsi="Arial" w:cs="Arial"/>
          <w:b/>
          <w:bCs/>
          <w:noProof/>
          <w:snapToGrid w:val="0"/>
          <w:kern w:val="0"/>
          <w:sz w:val="28"/>
          <w:szCs w:val="28"/>
        </w:rPr>
        <w:t>3</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D6A6E67" w14:textId="630024F2" w:rsidR="0060767B" w:rsidRDefault="00E766C8" w:rsidP="0060767B">
      <w:r>
        <w:t>During the NR-U study, SA2 have been consulted about the charging aspects of the data over unlicensed spectrum</w:t>
      </w:r>
      <w:r w:rsidR="00E74381">
        <w:t xml:space="preserve"> </w:t>
      </w:r>
      <w:r w:rsidR="00E74381">
        <w:fldChar w:fldCharType="begin"/>
      </w:r>
      <w:r w:rsidR="00E74381">
        <w:instrText xml:space="preserve"> REF _Ref880465 \r \h </w:instrText>
      </w:r>
      <w:r w:rsidR="00E74381">
        <w:fldChar w:fldCharType="separate"/>
      </w:r>
      <w:r w:rsidR="00E74381">
        <w:t>[1]</w:t>
      </w:r>
      <w:r w:rsidR="00E74381">
        <w:fldChar w:fldCharType="end"/>
      </w:r>
      <w:r>
        <w:t xml:space="preserve">. SA2 replied that there may be a need for introducing RAT type for NR-U for </w:t>
      </w:r>
      <w:r w:rsidR="00AF0422">
        <w:t>subscription-based</w:t>
      </w:r>
      <w:r>
        <w:t xml:space="preserve"> access restriction, policy and charging purpose</w:t>
      </w:r>
      <w:r w:rsidR="00E74381">
        <w:t xml:space="preserve"> </w:t>
      </w:r>
      <w:r w:rsidR="00E74381">
        <w:fldChar w:fldCharType="begin"/>
      </w:r>
      <w:r w:rsidR="00E74381">
        <w:instrText xml:space="preserve"> REF _Ref880493 \r \h </w:instrText>
      </w:r>
      <w:r w:rsidR="00E74381">
        <w:fldChar w:fldCharType="separate"/>
      </w:r>
      <w:r w:rsidR="00E74381">
        <w:t>[2]</w:t>
      </w:r>
      <w:r w:rsidR="00E74381">
        <w:fldChar w:fldCharType="end"/>
      </w:r>
      <w:r>
        <w:t>. In this contribution, we look at the RAN level aspects of charging and data volume reporting for NR-U</w:t>
      </w:r>
      <w:r w:rsidR="00E74381">
        <w:t xml:space="preserve">. </w:t>
      </w:r>
    </w:p>
    <w:p w14:paraId="36B65BB2" w14:textId="366BA140" w:rsidR="006F2252" w:rsidRDefault="009E77F5"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GoBack"/>
      <w:bookmarkEnd w:id="2"/>
      <w:r>
        <w:rPr>
          <w:rFonts w:ascii="Arial" w:hAnsi="Arial" w:cs="Arial"/>
          <w:b w:val="0"/>
          <w:bCs w:val="0"/>
          <w:kern w:val="0"/>
          <w:sz w:val="32"/>
          <w:szCs w:val="36"/>
        </w:rPr>
        <w:t xml:space="preserve">Data transmission </w:t>
      </w:r>
    </w:p>
    <w:p w14:paraId="68CBA192" w14:textId="6CF4F865" w:rsidR="00CB7850" w:rsidRDefault="00E766C8" w:rsidP="00754CA3">
      <w:r>
        <w:t xml:space="preserve">Both 5G-C and EPC based access to unlicensed spectrum is supported with NR-U. Scenarios A, C, D and E use 5GC based access whilst scenario B supports both EPC and 5GC. Further, both DC and CA based architectures are possible. These options are depicted in </w:t>
      </w:r>
      <w:r>
        <w:fldChar w:fldCharType="begin"/>
      </w:r>
      <w:r>
        <w:instrText xml:space="preserve"> REF _Ref536622783 \h </w:instrText>
      </w:r>
      <w:r>
        <w:fldChar w:fldCharType="separate"/>
      </w:r>
      <w:r>
        <w:t xml:space="preserve">Figure </w:t>
      </w:r>
      <w:r>
        <w:rPr>
          <w:noProof/>
        </w:rPr>
        <w:t>1</w:t>
      </w:r>
      <w:r>
        <w:fldChar w:fldCharType="end"/>
      </w:r>
      <w:r>
        <w:t xml:space="preserve"> below. </w:t>
      </w:r>
    </w:p>
    <w:p w14:paraId="6EF6F5E3" w14:textId="77777777" w:rsidR="00E766C8" w:rsidRDefault="00E766C8" w:rsidP="00E766C8">
      <w:pPr>
        <w:keepNext/>
      </w:pPr>
      <w:r w:rsidRPr="00E766C8">
        <w:rPr>
          <w:noProof/>
        </w:rPr>
        <w:drawing>
          <wp:inline distT="0" distB="0" distL="0" distR="0" wp14:anchorId="31381969" wp14:editId="1D84DED4">
            <wp:extent cx="6210935" cy="2811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2811145"/>
                    </a:xfrm>
                    <a:prstGeom prst="rect">
                      <a:avLst/>
                    </a:prstGeom>
                    <a:noFill/>
                    <a:ln>
                      <a:noFill/>
                    </a:ln>
                  </pic:spPr>
                </pic:pic>
              </a:graphicData>
            </a:graphic>
          </wp:inline>
        </w:drawing>
      </w:r>
    </w:p>
    <w:p w14:paraId="3482723D" w14:textId="76F8050E" w:rsidR="00E766C8" w:rsidRDefault="00E766C8" w:rsidP="00E766C8">
      <w:pPr>
        <w:pStyle w:val="Caption"/>
        <w:jc w:val="center"/>
      </w:pPr>
      <w:bookmarkStart w:id="3" w:name="_Ref536622783"/>
      <w:r>
        <w:t xml:space="preserve">Figure </w:t>
      </w:r>
      <w:r w:rsidR="006E079F">
        <w:rPr>
          <w:noProof/>
        </w:rPr>
        <w:fldChar w:fldCharType="begin"/>
      </w:r>
      <w:r w:rsidR="006E079F">
        <w:rPr>
          <w:noProof/>
        </w:rPr>
        <w:instrText xml:space="preserve"> SEQ Figure \* ARABIC </w:instrText>
      </w:r>
      <w:r w:rsidR="006E079F">
        <w:rPr>
          <w:noProof/>
        </w:rPr>
        <w:fldChar w:fldCharType="separate"/>
      </w:r>
      <w:r>
        <w:rPr>
          <w:noProof/>
        </w:rPr>
        <w:t>1</w:t>
      </w:r>
      <w:r w:rsidR="006E079F">
        <w:rPr>
          <w:noProof/>
        </w:rPr>
        <w:fldChar w:fldCharType="end"/>
      </w:r>
      <w:bookmarkEnd w:id="3"/>
      <w:r>
        <w:t>: Architecture options for NR-U</w:t>
      </w:r>
    </w:p>
    <w:p w14:paraId="23E6DD8D" w14:textId="100879B6" w:rsidR="00E766C8" w:rsidRDefault="00E766C8" w:rsidP="00E766C8">
      <w:r>
        <w:t xml:space="preserve">Based on the feedback from SA2, RAN should support and enable charging for data sent over unlicensed spectrum in all the above architectures. It is possible that an operator might adopt a </w:t>
      </w:r>
      <w:r w:rsidR="00E74381">
        <w:t xml:space="preserve">different </w:t>
      </w:r>
      <w:r>
        <w:t xml:space="preserve">charging scheme </w:t>
      </w:r>
      <w:r w:rsidR="00E74381">
        <w:t>for</w:t>
      </w:r>
      <w:r>
        <w:t xml:space="preserve"> the data</w:t>
      </w:r>
      <w:r w:rsidR="00E74381">
        <w:t xml:space="preserve"> that</w:t>
      </w:r>
      <w:r>
        <w:t xml:space="preserve"> is sent over licensed spectrum </w:t>
      </w:r>
      <w:r w:rsidR="00E74381">
        <w:t>compared to the data sent over</w:t>
      </w:r>
      <w:r>
        <w:t xml:space="preserve"> unlicensed spectrum. As such, the RAN should hence be able to support reporting of </w:t>
      </w:r>
      <w:r w:rsidR="00E74381">
        <w:t xml:space="preserve">the volume of the </w:t>
      </w:r>
      <w:r>
        <w:t xml:space="preserve">data over unlicensed spectrum to support the charging functionality for NR-U for both 5GC and EPC and for DC and CA architectures. </w:t>
      </w:r>
    </w:p>
    <w:p w14:paraId="1973BD5C" w14:textId="77777777" w:rsidR="00E766C8" w:rsidRDefault="00E766C8" w:rsidP="00E766C8"/>
    <w:p w14:paraId="6DEA47B8" w14:textId="303201E4" w:rsidR="00E766C8" w:rsidRPr="00AF0422" w:rsidRDefault="00E766C8" w:rsidP="00E766C8">
      <w:pPr>
        <w:rPr>
          <w:b/>
        </w:rPr>
      </w:pPr>
      <w:r w:rsidRPr="00AF0422">
        <w:rPr>
          <w:b/>
        </w:rPr>
        <w:lastRenderedPageBreak/>
        <w:t xml:space="preserve">Observation 1: Tools to support charging for data transmitted over unlicensed spectrum </w:t>
      </w:r>
      <w:r w:rsidR="00AF0422" w:rsidRPr="00AF0422">
        <w:rPr>
          <w:b/>
        </w:rPr>
        <w:t xml:space="preserve">in DC and CA architectures </w:t>
      </w:r>
      <w:r w:rsidRPr="00AF0422">
        <w:rPr>
          <w:b/>
        </w:rPr>
        <w:t xml:space="preserve">should be supported </w:t>
      </w:r>
      <w:r w:rsidR="00AF0422" w:rsidRPr="00AF0422">
        <w:rPr>
          <w:b/>
        </w:rPr>
        <w:t xml:space="preserve">by RAN for both EPC and 5GC based </w:t>
      </w:r>
      <w:r w:rsidR="00204327">
        <w:rPr>
          <w:b/>
        </w:rPr>
        <w:t>NR-U scenarios</w:t>
      </w:r>
    </w:p>
    <w:p w14:paraId="1B248063" w14:textId="625E1E1E" w:rsidR="00AF0422" w:rsidRDefault="00AF0422" w:rsidP="00E766C8"/>
    <w:p w14:paraId="7BA92F00" w14:textId="2172D92D" w:rsidR="00204327" w:rsidRDefault="00204327" w:rsidP="00E766C8">
      <w:r>
        <w:t>In case of DC based architecture, in addition to the data volume reporting from the master node, usage data reporting for secondary RAT could be used to inform the CN about any data sent over unlicensed spectrum when DC based NR-U is used. However, in order to enable this, the data volume reporting functionality should be enhanced to indicate the actual volume of data sent over unlicensed spectrum. RAN3 interfaces will be impacted to support this functionality.</w:t>
      </w:r>
    </w:p>
    <w:p w14:paraId="220315DE" w14:textId="6B6AA2A3" w:rsidR="00204327" w:rsidRDefault="00204327" w:rsidP="00E766C8"/>
    <w:p w14:paraId="74EE41DF" w14:textId="0ABA5A83" w:rsidR="00204327" w:rsidRDefault="00204327" w:rsidP="00E766C8">
      <w:r>
        <w:t xml:space="preserve">In case of CA based architecture, the reporting functionality should consider the CU-DU split architecture at the </w:t>
      </w:r>
      <w:proofErr w:type="spellStart"/>
      <w:r>
        <w:t>gNB</w:t>
      </w:r>
      <w:proofErr w:type="spellEnd"/>
      <w:r>
        <w:t xml:space="preserve">. In particular, the DU can support both NR and NR-U based architectures and hence the DU should support counting and reporting of data volume (both in licensed spectrum and unlicensed spectrum) to the CU. Supporting such a functionality impacts the F1 interface and should be discussed in RAN3. </w:t>
      </w:r>
    </w:p>
    <w:p w14:paraId="5AA3CFD3" w14:textId="77777777" w:rsidR="00204327" w:rsidRDefault="00204327" w:rsidP="00E766C8"/>
    <w:p w14:paraId="4FB66207" w14:textId="6B3C1FDD" w:rsidR="00AF0422" w:rsidRDefault="00204327" w:rsidP="00E766C8">
      <w:r>
        <w:t xml:space="preserve">In addition to the above, NR supports duplication functionality and hence data may be sent over licensed spectrum or unlicensed spectrum or both. When duplication functionality is used, it is unclear how RAN should count and report the duplicated data to CN. </w:t>
      </w:r>
      <w:r w:rsidR="00295080">
        <w:t xml:space="preserve">There are multiple options in this regard: </w:t>
      </w:r>
    </w:p>
    <w:p w14:paraId="6F46EE4B" w14:textId="0845A8E3" w:rsidR="00295080" w:rsidRDefault="00295080" w:rsidP="00295080">
      <w:pPr>
        <w:pStyle w:val="ListParagraph"/>
        <w:numPr>
          <w:ilvl w:val="0"/>
          <w:numId w:val="32"/>
        </w:numPr>
        <w:ind w:firstLineChars="0"/>
      </w:pPr>
      <w:r>
        <w:t xml:space="preserve">Duplicated data is only reported once (and is reported either over licensed leg or unlicensed leg – </w:t>
      </w:r>
      <w:r w:rsidR="000960BD">
        <w:t>e.g. based on the</w:t>
      </w:r>
      <w:r>
        <w:t xml:space="preserve"> configur</w:t>
      </w:r>
      <w:r w:rsidR="000960BD">
        <w:t>ation from</w:t>
      </w:r>
      <w:r>
        <w:t xml:space="preserve"> CN)</w:t>
      </w:r>
    </w:p>
    <w:p w14:paraId="320ED259" w14:textId="41B27E77" w:rsidR="00295080" w:rsidRDefault="00295080" w:rsidP="00295080">
      <w:pPr>
        <w:pStyle w:val="ListParagraph"/>
        <w:numPr>
          <w:ilvl w:val="0"/>
          <w:numId w:val="32"/>
        </w:numPr>
        <w:ind w:firstLineChars="0"/>
      </w:pPr>
      <w:r>
        <w:t>Duplicated data is reported both on licensed leg and unlicensed legs</w:t>
      </w:r>
    </w:p>
    <w:p w14:paraId="4AF7C952" w14:textId="6929007D" w:rsidR="00E766C8" w:rsidRDefault="00295080" w:rsidP="00754CA3">
      <w:pPr>
        <w:pStyle w:val="ListParagraph"/>
        <w:numPr>
          <w:ilvl w:val="0"/>
          <w:numId w:val="32"/>
        </w:numPr>
        <w:ind w:firstLineChars="0"/>
      </w:pPr>
      <w:r>
        <w:t>Data volume report explicitly indicates the total amount of data sent over licensed spectrum, unlicensed spectrum and both (i.e. duplicated data)</w:t>
      </w:r>
    </w:p>
    <w:p w14:paraId="12D21F2B" w14:textId="77777777" w:rsidR="00295080" w:rsidRDefault="00295080" w:rsidP="00295080"/>
    <w:p w14:paraId="6504B850" w14:textId="6258E17E" w:rsidR="00295080" w:rsidRDefault="00295080" w:rsidP="00295080">
      <w:r>
        <w:t xml:space="preserve">SA2 should discuss the above aspects and RAN3 and SA2 should define necessary signaling to support the configuration of one or more of the above options for data reporting for NR-U. </w:t>
      </w:r>
    </w:p>
    <w:p w14:paraId="06CF801C" w14:textId="617263C6" w:rsidR="00295080" w:rsidRDefault="00295080" w:rsidP="00295080"/>
    <w:p w14:paraId="7C6A8635" w14:textId="0025E484" w:rsidR="00295080" w:rsidRDefault="00295080" w:rsidP="00295080">
      <w:r>
        <w:t xml:space="preserve">Based on the above analysis, </w:t>
      </w:r>
      <w:r w:rsidR="008B4843">
        <w:t xml:space="preserve">although functionality such as duplication </w:t>
      </w:r>
      <w:proofErr w:type="spellStart"/>
      <w:r w:rsidR="008B4843">
        <w:t>etc</w:t>
      </w:r>
      <w:proofErr w:type="spellEnd"/>
      <w:r w:rsidR="008B4843">
        <w:t xml:space="preserve"> which impacts the charging functionality per above is in the remit of RAN2, w</w:t>
      </w:r>
      <w:r>
        <w:t xml:space="preserve">ork is </w:t>
      </w:r>
      <w:r w:rsidR="008B4843">
        <w:t xml:space="preserve">eventually </w:t>
      </w:r>
      <w:r>
        <w:t xml:space="preserve">needed in SA2 and RAN3 to define the necessary </w:t>
      </w:r>
      <w:r w:rsidR="008B4843">
        <w:t xml:space="preserve">requirements and the </w:t>
      </w:r>
      <w:r>
        <w:t xml:space="preserve">signaling </w:t>
      </w:r>
      <w:r w:rsidR="008B4843">
        <w:t xml:space="preserve">framework </w:t>
      </w:r>
      <w:r>
        <w:t xml:space="preserve">for this purpose. So, we propose to send </w:t>
      </w:r>
      <w:proofErr w:type="gramStart"/>
      <w:r>
        <w:t>an</w:t>
      </w:r>
      <w:proofErr w:type="gramEnd"/>
      <w:r>
        <w:t xml:space="preserve"> LS to SA2 and RAN3 to trigger the necessary work. </w:t>
      </w:r>
    </w:p>
    <w:p w14:paraId="5515E49A" w14:textId="43EFBF63" w:rsidR="00295080" w:rsidRDefault="00295080" w:rsidP="00295080"/>
    <w:p w14:paraId="5F8E11D4" w14:textId="03436B53" w:rsidR="00295080" w:rsidRPr="00295080" w:rsidRDefault="00295080" w:rsidP="00295080">
      <w:pPr>
        <w:rPr>
          <w:b/>
        </w:rPr>
      </w:pPr>
      <w:r w:rsidRPr="00295080">
        <w:rPr>
          <w:b/>
        </w:rPr>
        <w:t xml:space="preserve">Proposal 1: Send </w:t>
      </w:r>
      <w:proofErr w:type="gramStart"/>
      <w:r w:rsidRPr="00295080">
        <w:rPr>
          <w:b/>
        </w:rPr>
        <w:t>an</w:t>
      </w:r>
      <w:proofErr w:type="gramEnd"/>
      <w:r w:rsidRPr="00295080">
        <w:rPr>
          <w:b/>
        </w:rPr>
        <w:t xml:space="preserve"> LS to SA2 and RAN3 to trigger the necessary work on signaling to support charging for NR-U</w:t>
      </w:r>
    </w:p>
    <w:p w14:paraId="789B3D6C" w14:textId="37EA4CDF" w:rsidR="005F1004" w:rsidRPr="0061078C" w:rsidRDefault="005F1004" w:rsidP="0061078C">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00B87D03" w:rsidRPr="0061078C">
        <w:rPr>
          <w:rFonts w:ascii="Arial" w:hAnsi="Arial" w:cs="Arial"/>
          <w:b w:val="0"/>
          <w:bCs w:val="0"/>
          <w:kern w:val="0"/>
          <w:sz w:val="32"/>
          <w:szCs w:val="36"/>
        </w:rPr>
        <w:t xml:space="preserve"> and proposals</w:t>
      </w:r>
    </w:p>
    <w:p w14:paraId="2F86FA7E" w14:textId="0BC138E3" w:rsidR="00A460BE" w:rsidRPr="00A460BE" w:rsidRDefault="00A460BE" w:rsidP="00A460BE">
      <w:r w:rsidRPr="00A460BE">
        <w:t>The c</w:t>
      </w:r>
      <w:r>
        <w:t xml:space="preserve">harging aspects of NR-U are discussed in this contribution and the following observation and proposal are made. </w:t>
      </w:r>
    </w:p>
    <w:p w14:paraId="14A80EE4" w14:textId="0EB0114B" w:rsidR="00A460BE" w:rsidRDefault="00A460BE" w:rsidP="00A460BE">
      <w:pPr>
        <w:rPr>
          <w:b/>
        </w:rPr>
      </w:pPr>
      <w:r w:rsidRPr="00A460BE">
        <w:rPr>
          <w:b/>
        </w:rPr>
        <w:t>Observation 1: Tools to support charging for data transmitted over unlicensed spectrum in DC and CA architectures should be supported by RAN for both EPC and 5GC based NR-U scenarios</w:t>
      </w:r>
    </w:p>
    <w:p w14:paraId="13941FE6" w14:textId="77777777" w:rsidR="00A460BE" w:rsidRPr="00A460BE" w:rsidRDefault="00A460BE" w:rsidP="00A460BE">
      <w:pPr>
        <w:rPr>
          <w:b/>
        </w:rPr>
      </w:pPr>
    </w:p>
    <w:p w14:paraId="77B60121" w14:textId="36F3122B" w:rsidR="0096459F" w:rsidRPr="00076492" w:rsidRDefault="00A460BE" w:rsidP="0096459F">
      <w:pPr>
        <w:rPr>
          <w:b/>
        </w:rPr>
      </w:pPr>
      <w:r w:rsidRPr="00A460BE">
        <w:rPr>
          <w:b/>
        </w:rPr>
        <w:t xml:space="preserve">Proposal 1: Send </w:t>
      </w:r>
      <w:proofErr w:type="gramStart"/>
      <w:r w:rsidRPr="00A460BE">
        <w:rPr>
          <w:b/>
        </w:rPr>
        <w:t>an</w:t>
      </w:r>
      <w:proofErr w:type="gramEnd"/>
      <w:r w:rsidRPr="00A460BE">
        <w:rPr>
          <w:b/>
        </w:rPr>
        <w:t xml:space="preserve"> LS to SA2 and RAN3 to trigger the necessary work on signaling to support charging for NR-U</w:t>
      </w:r>
      <w:r>
        <w:rPr>
          <w:b/>
        </w:rPr>
        <w:t xml:space="preserve"> (draft available in </w:t>
      </w:r>
      <w:r w:rsidR="006E079F">
        <w:rPr>
          <w:b/>
        </w:rPr>
        <w:fldChar w:fldCharType="begin"/>
      </w:r>
      <w:r w:rsidR="006E079F">
        <w:rPr>
          <w:b/>
        </w:rPr>
        <w:instrText xml:space="preserve"> REF _Ref881000 \r \h </w:instrText>
      </w:r>
      <w:r w:rsidR="006E079F">
        <w:rPr>
          <w:b/>
        </w:rPr>
      </w:r>
      <w:r w:rsidR="006E079F">
        <w:rPr>
          <w:b/>
        </w:rPr>
        <w:fldChar w:fldCharType="separate"/>
      </w:r>
      <w:r w:rsidR="006E079F">
        <w:rPr>
          <w:b/>
        </w:rPr>
        <w:t>[3]</w:t>
      </w:r>
      <w:r w:rsidR="006E079F">
        <w:rPr>
          <w:b/>
        </w:rPr>
        <w:fldChar w:fldCharType="end"/>
      </w:r>
      <w:r>
        <w:rPr>
          <w:b/>
        </w:rPr>
        <w:t>)</w:t>
      </w:r>
      <w:r w:rsidR="0096459F" w:rsidRPr="00076492">
        <w:rPr>
          <w:b/>
        </w:rPr>
        <w:t xml:space="preserve"> </w:t>
      </w:r>
    </w:p>
    <w:p w14:paraId="494B4FC3" w14:textId="6FA03708" w:rsidR="001E3B6E" w:rsidRDefault="00945FA9" w:rsidP="00E74381">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14:paraId="706C28DC" w14:textId="5A930B95" w:rsidR="00E74381" w:rsidRDefault="00E74381" w:rsidP="00E74381">
      <w:pPr>
        <w:pStyle w:val="ListParagraph"/>
        <w:numPr>
          <w:ilvl w:val="0"/>
          <w:numId w:val="33"/>
        </w:numPr>
        <w:ind w:firstLineChars="0"/>
      </w:pPr>
      <w:bookmarkStart w:id="4" w:name="_Ref880465"/>
      <w:r>
        <w:t xml:space="preserve">R2-1816026 </w:t>
      </w:r>
      <w:r w:rsidRPr="00E74381">
        <w:t>LS on requesting study of system level aspects of NR-U</w:t>
      </w:r>
      <w:r>
        <w:t>, RAN2, RAN2#103-bis</w:t>
      </w:r>
      <w:bookmarkEnd w:id="4"/>
    </w:p>
    <w:p w14:paraId="3B7C1B4A" w14:textId="5C7E8002" w:rsidR="00E74381" w:rsidRDefault="00E74381" w:rsidP="00E74381">
      <w:pPr>
        <w:pStyle w:val="ListParagraph"/>
        <w:numPr>
          <w:ilvl w:val="0"/>
          <w:numId w:val="33"/>
        </w:numPr>
        <w:ind w:firstLineChars="0"/>
      </w:pPr>
      <w:bookmarkStart w:id="5" w:name="_Ref880493"/>
      <w:r w:rsidRPr="00E74381">
        <w:t>R2-1816232</w:t>
      </w:r>
      <w:r>
        <w:t xml:space="preserve"> Reply LS on requesting study of system level aspects of NR-U, SA2, RAN2#104</w:t>
      </w:r>
      <w:bookmarkEnd w:id="5"/>
    </w:p>
    <w:p w14:paraId="7C01AD9B" w14:textId="4BD3E302" w:rsidR="00A460BE" w:rsidRDefault="00A460BE" w:rsidP="00E74381">
      <w:pPr>
        <w:pStyle w:val="ListParagraph"/>
        <w:numPr>
          <w:ilvl w:val="0"/>
          <w:numId w:val="33"/>
        </w:numPr>
        <w:ind w:firstLineChars="0"/>
      </w:pPr>
      <w:bookmarkStart w:id="6" w:name="_Ref881000"/>
      <w:r>
        <w:t>R2-190</w:t>
      </w:r>
      <w:r w:rsidR="009265EE">
        <w:t>0681</w:t>
      </w:r>
      <w:r>
        <w:t xml:space="preserve"> Draft LS on charging aspects of NR-U, RAN2#105</w:t>
      </w:r>
      <w:bookmarkEnd w:id="6"/>
    </w:p>
    <w:p w14:paraId="42835E5B" w14:textId="77777777" w:rsidR="00E74381" w:rsidRPr="00E74381" w:rsidRDefault="00E74381" w:rsidP="00E74381"/>
    <w:sectPr w:rsidR="00E74381" w:rsidRPr="00E74381" w:rsidSect="00BF085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F45B60"/>
    <w:multiLevelType w:val="hybridMultilevel"/>
    <w:tmpl w:val="51DE4A0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7" w15:restartNumberingAfterBreak="0">
    <w:nsid w:val="3BC70573"/>
    <w:multiLevelType w:val="hybridMultilevel"/>
    <w:tmpl w:val="D0608130"/>
    <w:lvl w:ilvl="0" w:tplc="DDC44EB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8"/>
  </w:num>
  <w:num w:numId="4">
    <w:abstractNumId w:val="2"/>
  </w:num>
  <w:num w:numId="5">
    <w:abstractNumId w:val="14"/>
  </w:num>
  <w:num w:numId="6">
    <w:abstractNumId w:val="10"/>
  </w:num>
  <w:num w:numId="7">
    <w:abstractNumId w:val="18"/>
  </w:num>
  <w:num w:numId="8">
    <w:abstractNumId w:val="26"/>
  </w:num>
  <w:num w:numId="9">
    <w:abstractNumId w:val="31"/>
  </w:num>
  <w:num w:numId="10">
    <w:abstractNumId w:val="8"/>
  </w:num>
  <w:num w:numId="11">
    <w:abstractNumId w:val="21"/>
  </w:num>
  <w:num w:numId="12">
    <w:abstractNumId w:val="19"/>
  </w:num>
  <w:num w:numId="13">
    <w:abstractNumId w:val="30"/>
  </w:num>
  <w:num w:numId="14">
    <w:abstractNumId w:val="4"/>
  </w:num>
  <w:num w:numId="15">
    <w:abstractNumId w:val="5"/>
  </w:num>
  <w:num w:numId="16">
    <w:abstractNumId w:val="25"/>
  </w:num>
  <w:num w:numId="17">
    <w:abstractNumId w:val="7"/>
  </w:num>
  <w:num w:numId="18">
    <w:abstractNumId w:val="29"/>
  </w:num>
  <w:num w:numId="19">
    <w:abstractNumId w:val="9"/>
  </w:num>
  <w:num w:numId="20">
    <w:abstractNumId w:val="12"/>
  </w:num>
  <w:num w:numId="21">
    <w:abstractNumId w:val="13"/>
  </w:num>
  <w:num w:numId="22">
    <w:abstractNumId w:val="16"/>
  </w:num>
  <w:num w:numId="23">
    <w:abstractNumId w:val="6"/>
  </w:num>
  <w:num w:numId="24">
    <w:abstractNumId w:val="23"/>
  </w:num>
  <w:num w:numId="25">
    <w:abstractNumId w:val="11"/>
  </w:num>
  <w:num w:numId="26">
    <w:abstractNumId w:val="1"/>
  </w:num>
  <w:num w:numId="27">
    <w:abstractNumId w:val="27"/>
  </w:num>
  <w:num w:numId="28">
    <w:abstractNumId w:val="20"/>
  </w:num>
  <w:num w:numId="29">
    <w:abstractNumId w:val="15"/>
  </w:num>
  <w:num w:numId="30">
    <w:abstractNumId w:val="32"/>
  </w:num>
  <w:num w:numId="31">
    <w:abstractNumId w:val="22"/>
  </w:num>
  <w:num w:numId="32">
    <w:abstractNumId w:val="17"/>
  </w:num>
  <w:num w:numId="3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734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0647C"/>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0BD"/>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B6E"/>
    <w:rsid w:val="001E3D8C"/>
    <w:rsid w:val="001E43EF"/>
    <w:rsid w:val="001E44CD"/>
    <w:rsid w:val="001E6F40"/>
    <w:rsid w:val="001F31F0"/>
    <w:rsid w:val="001F3DF5"/>
    <w:rsid w:val="001F4346"/>
    <w:rsid w:val="00201FFE"/>
    <w:rsid w:val="00202C4B"/>
    <w:rsid w:val="00203B88"/>
    <w:rsid w:val="00204327"/>
    <w:rsid w:val="00206380"/>
    <w:rsid w:val="002155FA"/>
    <w:rsid w:val="002176DE"/>
    <w:rsid w:val="00223B64"/>
    <w:rsid w:val="0023029F"/>
    <w:rsid w:val="00231281"/>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5080"/>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4829"/>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1EF0"/>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079F"/>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0EF"/>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4843"/>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5EE"/>
    <w:rsid w:val="009269F5"/>
    <w:rsid w:val="00930CAD"/>
    <w:rsid w:val="009400CF"/>
    <w:rsid w:val="00940533"/>
    <w:rsid w:val="009410AE"/>
    <w:rsid w:val="00942AD5"/>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6367"/>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460BE"/>
    <w:rsid w:val="00A504A8"/>
    <w:rsid w:val="00A542B8"/>
    <w:rsid w:val="00A54719"/>
    <w:rsid w:val="00A5709E"/>
    <w:rsid w:val="00A612B9"/>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6230"/>
    <w:rsid w:val="00AC4276"/>
    <w:rsid w:val="00AC464D"/>
    <w:rsid w:val="00AC51E8"/>
    <w:rsid w:val="00AD0CA9"/>
    <w:rsid w:val="00AD1C5F"/>
    <w:rsid w:val="00AD2407"/>
    <w:rsid w:val="00AD4BBE"/>
    <w:rsid w:val="00AD62D8"/>
    <w:rsid w:val="00AE5146"/>
    <w:rsid w:val="00AE55C5"/>
    <w:rsid w:val="00AE5A4F"/>
    <w:rsid w:val="00AE7B16"/>
    <w:rsid w:val="00AF0422"/>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2E0C"/>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37356"/>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74381"/>
    <w:rsid w:val="00E766C8"/>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171574813">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FF8B6-1D82-48FE-B77D-2E7A666FD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ZTE(EV)</cp:lastModifiedBy>
  <cp:revision>18</cp:revision>
  <cp:lastPrinted>2113-01-01T00:00:00Z</cp:lastPrinted>
  <dcterms:created xsi:type="dcterms:W3CDTF">2019-01-29T12:48:00Z</dcterms:created>
  <dcterms:modified xsi:type="dcterms:W3CDTF">2019-05-02T13:01:00Z</dcterms:modified>
</cp:coreProperties>
</file>